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C42" w:rsidRDefault="00965803" w:rsidP="00965803">
      <w:pPr>
        <w:pStyle w:val="a4"/>
        <w:snapToGrid w:val="0"/>
        <w:ind w:leftChars="-150" w:left="335" w:rightChars="-139" w:right="-334" w:hangingChars="193" w:hanging="695"/>
        <w:jc w:val="center"/>
        <w:rPr>
          <w:rFonts w:ascii="標楷體" w:hAnsi="標楷體" w:hint="eastAsia"/>
          <w:b/>
          <w:sz w:val="36"/>
          <w:szCs w:val="40"/>
        </w:rPr>
      </w:pPr>
      <w:r w:rsidRPr="00EC274F">
        <w:rPr>
          <w:rFonts w:hint="eastAsia"/>
          <w:b/>
          <w:color w:val="000000"/>
          <w:sz w:val="36"/>
          <w:szCs w:val="36"/>
        </w:rPr>
        <w:t>執行人類免疫缺乏病毒傳染防治工作致感染者補償辦法</w:t>
      </w:r>
    </w:p>
    <w:p w:rsidR="007A1C42" w:rsidRDefault="007A1C42">
      <w:pPr>
        <w:pStyle w:val="a4"/>
        <w:snapToGrid w:val="0"/>
        <w:spacing w:line="300" w:lineRule="exact"/>
        <w:ind w:leftChars="-10" w:left="336" w:hangingChars="100" w:hanging="360"/>
        <w:jc w:val="center"/>
        <w:rPr>
          <w:rFonts w:ascii="標楷體" w:hAnsi="標楷體" w:hint="eastAsia"/>
          <w:b/>
          <w:sz w:val="36"/>
          <w:szCs w:val="40"/>
        </w:rPr>
      </w:pPr>
    </w:p>
    <w:p w:rsidR="007A1C42" w:rsidRPr="000A71F4" w:rsidRDefault="007A1C42" w:rsidP="000A71F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60" w:hangingChars="200" w:hanging="480"/>
        <w:rPr>
          <w:rFonts w:ascii="Times New Roman" w:eastAsia="標楷體" w:hAnsi="Times New Roman" w:cs="Times New Roman"/>
        </w:rPr>
      </w:pPr>
      <w:smartTag w:uri="urn:schemas-microsoft-com:office:smarttags" w:element="chsdate">
        <w:smartTagPr>
          <w:attr w:name="IsROCDate" w:val="True"/>
          <w:attr w:name="IsLunarDate" w:val="False"/>
          <w:attr w:name="Day" w:val="22"/>
          <w:attr w:name="Month" w:val="10"/>
          <w:attr w:name="Year" w:val="2009"/>
        </w:smartTagPr>
        <w:r w:rsidRPr="000A71F4">
          <w:rPr>
            <w:rFonts w:ascii="Times New Roman" w:eastAsia="標楷體" w:hAnsi="Times New Roman" w:cs="Times New Roman"/>
          </w:rPr>
          <w:t>中華民國九十</w:t>
        </w:r>
        <w:r w:rsidR="00472A8C" w:rsidRPr="000A71F4">
          <w:rPr>
            <w:rFonts w:ascii="Times New Roman" w:eastAsia="標楷體" w:hAnsi="Times New Roman" w:cs="Times New Roman"/>
          </w:rPr>
          <w:t>八</w:t>
        </w:r>
        <w:r w:rsidRPr="000A71F4">
          <w:rPr>
            <w:rFonts w:ascii="Times New Roman" w:eastAsia="標楷體" w:hAnsi="Times New Roman" w:cs="Times New Roman"/>
          </w:rPr>
          <w:t>年</w:t>
        </w:r>
        <w:r w:rsidR="00472A8C" w:rsidRPr="000A71F4">
          <w:rPr>
            <w:rFonts w:ascii="Times New Roman" w:eastAsia="標楷體" w:hAnsi="Times New Roman" w:cs="Times New Roman"/>
          </w:rPr>
          <w:t>十</w:t>
        </w:r>
        <w:r w:rsidRPr="000A71F4">
          <w:rPr>
            <w:rFonts w:ascii="Times New Roman" w:eastAsia="標楷體" w:hAnsi="Times New Roman" w:cs="Times New Roman"/>
          </w:rPr>
          <w:t>月二十二日</w:t>
        </w:r>
      </w:smartTag>
      <w:r w:rsidRPr="000A71F4">
        <w:rPr>
          <w:rFonts w:ascii="Times New Roman" w:eastAsia="標楷體" w:hAnsi="Times New Roman" w:cs="Times New Roman"/>
        </w:rPr>
        <w:t>行政院衛生署</w:t>
      </w:r>
      <w:proofErr w:type="gramStart"/>
      <w:r w:rsidRPr="000A71F4">
        <w:rPr>
          <w:rFonts w:ascii="Times New Roman" w:eastAsia="標楷體" w:hAnsi="Times New Roman" w:cs="Times New Roman"/>
        </w:rPr>
        <w:t>署授疾字</w:t>
      </w:r>
      <w:proofErr w:type="gramEnd"/>
      <w:r w:rsidRPr="000A71F4">
        <w:rPr>
          <w:rFonts w:ascii="Times New Roman" w:eastAsia="標楷體" w:hAnsi="Times New Roman" w:cs="Times New Roman"/>
        </w:rPr>
        <w:t>第</w:t>
      </w:r>
      <w:r w:rsidR="000A71F4" w:rsidRPr="000A71F4">
        <w:rPr>
          <w:rFonts w:ascii="Times New Roman" w:hAnsi="Times New Roman" w:cs="Times New Roman"/>
        </w:rPr>
        <w:t xml:space="preserve">0980001464 </w:t>
      </w:r>
      <w:r w:rsidRPr="000A71F4">
        <w:rPr>
          <w:rFonts w:ascii="Times New Roman" w:eastAsia="標楷體" w:hAnsi="Times New Roman" w:cs="Times New Roman"/>
        </w:rPr>
        <w:t>號令訂定發布全文十</w:t>
      </w:r>
      <w:r w:rsidR="00472A8C" w:rsidRPr="000A71F4">
        <w:rPr>
          <w:rFonts w:ascii="Times New Roman" w:eastAsia="標楷體" w:hAnsi="Times New Roman" w:cs="Times New Roman"/>
        </w:rPr>
        <w:t>一</w:t>
      </w:r>
      <w:r w:rsidRPr="000A71F4">
        <w:rPr>
          <w:rFonts w:ascii="Times New Roman" w:eastAsia="標楷體" w:hAnsi="Times New Roman" w:cs="Times New Roman"/>
        </w:rPr>
        <w:t>條</w:t>
      </w:r>
    </w:p>
    <w:p w:rsidR="007A1C42" w:rsidRDefault="000A71F4" w:rsidP="000A71F4">
      <w:pPr>
        <w:spacing w:line="300" w:lineRule="exact"/>
        <w:ind w:leftChars="200" w:left="960" w:hangingChars="200" w:hanging="480"/>
        <w:rPr>
          <w:rFonts w:eastAsia="標楷體" w:hint="eastAsia"/>
        </w:rPr>
      </w:pPr>
      <w:r w:rsidRPr="000A71F4">
        <w:rPr>
          <w:rFonts w:eastAsia="標楷體"/>
        </w:rPr>
        <w:t>中華民國一百零二年十月二十四日衛生福利</w:t>
      </w:r>
      <w:proofErr w:type="gramStart"/>
      <w:r w:rsidRPr="000A71F4">
        <w:rPr>
          <w:rFonts w:eastAsia="標楷體"/>
        </w:rPr>
        <w:t>部部授疾字</w:t>
      </w:r>
      <w:proofErr w:type="gramEnd"/>
      <w:r w:rsidRPr="000A71F4">
        <w:rPr>
          <w:rFonts w:eastAsia="標楷體"/>
        </w:rPr>
        <w:t>第</w:t>
      </w:r>
      <w:r w:rsidRPr="000A71F4">
        <w:rPr>
          <w:rFonts w:eastAsia="標楷體"/>
        </w:rPr>
        <w:t xml:space="preserve"> 1020103449</w:t>
      </w:r>
      <w:r>
        <w:rPr>
          <w:rFonts w:eastAsia="標楷體" w:hint="eastAsia"/>
        </w:rPr>
        <w:t xml:space="preserve"> </w:t>
      </w:r>
      <w:r w:rsidRPr="000A71F4">
        <w:rPr>
          <w:rFonts w:eastAsia="標楷體"/>
        </w:rPr>
        <w:t>號令修正發布第</w:t>
      </w:r>
      <w:r>
        <w:rPr>
          <w:rFonts w:eastAsia="標楷體" w:hint="eastAsia"/>
        </w:rPr>
        <w:t>二條</w:t>
      </w:r>
      <w:r w:rsidRPr="000A71F4">
        <w:rPr>
          <w:rFonts w:eastAsia="標楷體"/>
        </w:rPr>
        <w:t>、</w:t>
      </w:r>
      <w:r>
        <w:rPr>
          <w:rFonts w:eastAsia="標楷體" w:hint="eastAsia"/>
        </w:rPr>
        <w:t>第五</w:t>
      </w:r>
      <w:proofErr w:type="gramStart"/>
      <w:r w:rsidRPr="000A71F4">
        <w:rPr>
          <w:rFonts w:eastAsia="標楷體"/>
        </w:rPr>
        <w:t>條</w:t>
      </w:r>
      <w:proofErr w:type="gramEnd"/>
      <w:r w:rsidRPr="000A71F4">
        <w:rPr>
          <w:rFonts w:eastAsia="標楷體"/>
        </w:rPr>
        <w:t>條文</w:t>
      </w:r>
    </w:p>
    <w:p w:rsidR="000A71F4" w:rsidRPr="000A71F4" w:rsidRDefault="000A71F4" w:rsidP="000A71F4">
      <w:pPr>
        <w:spacing w:line="300" w:lineRule="exact"/>
        <w:ind w:leftChars="200" w:left="960" w:hangingChars="200" w:hanging="480"/>
        <w:rPr>
          <w:rFonts w:eastAsia="標楷體"/>
        </w:rPr>
      </w:pPr>
    </w:p>
    <w:p w:rsidR="009C6E57" w:rsidRPr="00062680" w:rsidRDefault="007A1C42" w:rsidP="00D61023">
      <w:pPr>
        <w:pStyle w:val="a4"/>
        <w:snapToGrid w:val="0"/>
        <w:spacing w:line="520" w:lineRule="exact"/>
        <w:ind w:leftChars="-10" w:left="898" w:hangingChars="288" w:hanging="922"/>
        <w:rPr>
          <w:rFonts w:ascii="標楷體" w:hint="eastAsia"/>
          <w:sz w:val="32"/>
        </w:rPr>
      </w:pPr>
      <w:r w:rsidRPr="00062680">
        <w:rPr>
          <w:rFonts w:ascii="標楷體" w:hint="eastAsia"/>
          <w:sz w:val="32"/>
        </w:rPr>
        <w:t xml:space="preserve">第一條　　</w:t>
      </w:r>
      <w:r w:rsidR="009C6E57" w:rsidRPr="00062680">
        <w:rPr>
          <w:rFonts w:ascii="標楷體" w:hint="eastAsia"/>
          <w:sz w:val="32"/>
        </w:rPr>
        <w:t>本辦法依人類免疫缺乏病毒傳染防治及感染者權益保障條例(以下簡稱本條例)第二十六條第二項規定訂定之。</w:t>
      </w:r>
    </w:p>
    <w:p w:rsidR="000A71F4" w:rsidRPr="000A71F4" w:rsidRDefault="000A71F4" w:rsidP="000A71F4">
      <w:pPr>
        <w:pStyle w:val="a4"/>
        <w:snapToGrid w:val="0"/>
        <w:spacing w:line="520" w:lineRule="exact"/>
        <w:ind w:leftChars="-10" w:left="898" w:hangingChars="288" w:hanging="922"/>
        <w:rPr>
          <w:rFonts w:ascii="標楷體" w:hint="eastAsia"/>
          <w:sz w:val="32"/>
        </w:rPr>
      </w:pPr>
      <w:r w:rsidRPr="000A71F4">
        <w:rPr>
          <w:rFonts w:ascii="標楷體" w:hint="eastAsia"/>
          <w:sz w:val="32"/>
        </w:rPr>
        <w:t>第二條　　本條例第二十六條第二項所稱因提供感染者服務工作或執行本條例相關工作致感染人類免疫缺乏病毒者（以下稱致感染者），指配合主管機關執行上述工作之行政機關其任用及聘僱人員或受委託之團體所屬人員，並經衛生福利部疾病管制署（以下稱疾病管制署）認定者。</w:t>
      </w:r>
    </w:p>
    <w:p w:rsidR="000A71F4" w:rsidRPr="000A71F4" w:rsidRDefault="000A71F4" w:rsidP="000A71F4">
      <w:pPr>
        <w:pStyle w:val="a4"/>
        <w:snapToGrid w:val="0"/>
        <w:spacing w:line="520" w:lineRule="exact"/>
        <w:ind w:leftChars="374" w:left="898" w:firstLineChars="0" w:firstLine="2"/>
        <w:rPr>
          <w:rFonts w:ascii="標楷體" w:hint="eastAsia"/>
          <w:sz w:val="32"/>
        </w:rPr>
      </w:pPr>
      <w:r w:rsidRPr="000A71F4">
        <w:rPr>
          <w:rFonts w:ascii="標楷體" w:hint="eastAsia"/>
          <w:sz w:val="32"/>
        </w:rPr>
        <w:t xml:space="preserve">　　所稱「服務機關（構）」之範圍，指配合主管機關提供感染者服務工作或執行本條例相關工作之行政機關（構）或受行政機關（構）委託之團體。</w:t>
      </w:r>
    </w:p>
    <w:p w:rsidR="000A71F4" w:rsidRDefault="000A71F4" w:rsidP="000A71F4">
      <w:pPr>
        <w:pStyle w:val="a4"/>
        <w:snapToGrid w:val="0"/>
        <w:spacing w:line="520" w:lineRule="exact"/>
        <w:ind w:leftChars="374" w:left="898" w:firstLineChars="0" w:firstLine="2"/>
        <w:rPr>
          <w:rFonts w:ascii="標楷體" w:hint="eastAsia"/>
          <w:sz w:val="32"/>
        </w:rPr>
      </w:pPr>
      <w:r w:rsidRPr="000A71F4">
        <w:rPr>
          <w:rFonts w:ascii="標楷體" w:hint="eastAsia"/>
          <w:sz w:val="32"/>
        </w:rPr>
        <w:t xml:space="preserve">　　第一項人員因故意或重大過失致感染者，應不予補償。</w:t>
      </w:r>
    </w:p>
    <w:p w:rsidR="00300DCD" w:rsidRPr="00062680" w:rsidRDefault="007A1C42" w:rsidP="000A71F4">
      <w:pPr>
        <w:pStyle w:val="a4"/>
        <w:snapToGrid w:val="0"/>
        <w:spacing w:line="520" w:lineRule="exact"/>
        <w:ind w:leftChars="-10" w:left="898" w:hangingChars="288" w:hanging="922"/>
        <w:rPr>
          <w:rFonts w:ascii="標楷體" w:hint="eastAsia"/>
          <w:sz w:val="32"/>
        </w:rPr>
      </w:pPr>
      <w:r w:rsidRPr="00062680">
        <w:rPr>
          <w:rFonts w:ascii="標楷體" w:hint="eastAsia"/>
          <w:sz w:val="32"/>
        </w:rPr>
        <w:t xml:space="preserve">第三條　　</w:t>
      </w:r>
      <w:r w:rsidR="00300DCD" w:rsidRPr="00062680">
        <w:rPr>
          <w:rFonts w:ascii="標楷體" w:hint="eastAsia"/>
          <w:sz w:val="32"/>
        </w:rPr>
        <w:t>本辦法之補償種類及額度如下：</w:t>
      </w:r>
    </w:p>
    <w:p w:rsidR="00300DCD" w:rsidRPr="00062680" w:rsidRDefault="00300DCD" w:rsidP="000A71F4">
      <w:pPr>
        <w:tabs>
          <w:tab w:val="num" w:pos="2160"/>
        </w:tabs>
        <w:adjustRightInd w:val="0"/>
        <w:snapToGrid w:val="0"/>
        <w:spacing w:line="520" w:lineRule="exact"/>
        <w:ind w:leftChars="675" w:left="2260" w:hangingChars="200" w:hanging="640"/>
        <w:jc w:val="both"/>
        <w:rPr>
          <w:rFonts w:ascii="標楷體" w:eastAsia="標楷體" w:hAnsi="標楷體" w:hint="eastAsia"/>
          <w:color w:val="000000"/>
          <w:sz w:val="32"/>
          <w:szCs w:val="32"/>
        </w:rPr>
      </w:pPr>
      <w:r w:rsidRPr="00062680">
        <w:rPr>
          <w:rFonts w:ascii="標楷體" w:eastAsia="標楷體" w:hAnsi="標楷體" w:hint="eastAsia"/>
          <w:color w:val="000000"/>
          <w:sz w:val="32"/>
          <w:szCs w:val="32"/>
        </w:rPr>
        <w:t>一、致傷病補償金：包含</w:t>
      </w:r>
      <w:r w:rsidRPr="00062680">
        <w:rPr>
          <w:rFonts w:ascii="標楷體" w:eastAsia="標楷體" w:hint="eastAsia"/>
          <w:color w:val="000000"/>
          <w:sz w:val="32"/>
          <w:szCs w:val="32"/>
        </w:rPr>
        <w:t>喪失或減少勞動能力</w:t>
      </w:r>
      <w:r w:rsidRPr="00062680">
        <w:rPr>
          <w:rFonts w:ascii="標楷體" w:eastAsia="標楷體" w:hAnsi="標楷體" w:hint="eastAsia"/>
          <w:color w:val="000000"/>
          <w:sz w:val="32"/>
          <w:szCs w:val="32"/>
        </w:rPr>
        <w:t>或增加生活需要之費用，合計新臺幣五百萬元。</w:t>
      </w:r>
    </w:p>
    <w:p w:rsidR="00300DCD" w:rsidRPr="00062680" w:rsidRDefault="00300DCD" w:rsidP="000A71F4">
      <w:pPr>
        <w:pStyle w:val="2"/>
        <w:adjustRightInd w:val="0"/>
        <w:snapToGrid w:val="0"/>
        <w:spacing w:after="0" w:line="520" w:lineRule="exact"/>
        <w:ind w:leftChars="675" w:left="2260" w:hangingChars="200" w:hanging="640"/>
        <w:jc w:val="both"/>
        <w:rPr>
          <w:rFonts w:ascii="標楷體" w:eastAsia="標楷體" w:hAnsi="標楷體" w:hint="eastAsia"/>
          <w:color w:val="000000"/>
          <w:sz w:val="32"/>
          <w:szCs w:val="32"/>
        </w:rPr>
      </w:pPr>
      <w:r w:rsidRPr="00062680">
        <w:rPr>
          <w:rFonts w:ascii="標楷體" w:eastAsia="標楷體" w:hAnsi="標楷體" w:hint="eastAsia"/>
          <w:color w:val="000000"/>
          <w:sz w:val="32"/>
          <w:szCs w:val="32"/>
        </w:rPr>
        <w:t>二、致死亡補償金：包含死亡者對於第三人負有法定扶養義務之扶養費、非財產上損害之慰藉金及殯葬費，合計新臺幣一千萬元。</w:t>
      </w:r>
    </w:p>
    <w:p w:rsidR="00300DCD" w:rsidRPr="00062680" w:rsidRDefault="00300DCD" w:rsidP="00D61023">
      <w:pPr>
        <w:pStyle w:val="a4"/>
        <w:snapToGrid w:val="0"/>
        <w:spacing w:line="520" w:lineRule="exact"/>
        <w:ind w:leftChars="374" w:left="898" w:firstLineChars="0" w:firstLine="2"/>
        <w:rPr>
          <w:rFonts w:ascii="標楷體" w:hAnsi="標楷體" w:hint="eastAsia"/>
          <w:color w:val="000000"/>
          <w:sz w:val="32"/>
        </w:rPr>
      </w:pPr>
      <w:r w:rsidRPr="00062680">
        <w:rPr>
          <w:rFonts w:ascii="標楷體" w:hint="eastAsia"/>
          <w:sz w:val="32"/>
        </w:rPr>
        <w:t xml:space="preserve">　　</w:t>
      </w:r>
      <w:r w:rsidRPr="00062680">
        <w:rPr>
          <w:rFonts w:ascii="標楷體" w:hAnsi="標楷體" w:hint="eastAsia"/>
          <w:color w:val="000000"/>
          <w:sz w:val="32"/>
          <w:szCs w:val="32"/>
        </w:rPr>
        <w:t>因同一原因事實同時或先後申請前項第一款及第</w:t>
      </w:r>
      <w:r w:rsidRPr="00062680">
        <w:rPr>
          <w:rFonts w:ascii="標楷體" w:hAnsi="標楷體" w:hint="eastAsia"/>
          <w:color w:val="000000"/>
          <w:sz w:val="32"/>
          <w:szCs w:val="32"/>
        </w:rPr>
        <w:lastRenderedPageBreak/>
        <w:t>二款之補償費用者，應擇其較高之給付金額予以補償；已就較低之補償金額予以補償，應補足其差額；已由政府依其他法律規定發給性質相同之補償金，應予扣抵。</w:t>
      </w:r>
    </w:p>
    <w:p w:rsidR="00300DCD" w:rsidRPr="00062680" w:rsidRDefault="007A1C42" w:rsidP="00D61023">
      <w:pPr>
        <w:pStyle w:val="a4"/>
        <w:snapToGrid w:val="0"/>
        <w:spacing w:line="520" w:lineRule="exact"/>
        <w:ind w:leftChars="-10" w:left="296" w:hangingChars="100" w:hanging="320"/>
        <w:rPr>
          <w:rFonts w:ascii="標楷體" w:hint="eastAsia"/>
          <w:sz w:val="32"/>
        </w:rPr>
      </w:pPr>
      <w:r w:rsidRPr="00062680">
        <w:rPr>
          <w:rFonts w:ascii="標楷體" w:hint="eastAsia"/>
          <w:sz w:val="32"/>
        </w:rPr>
        <w:t xml:space="preserve">第四條　　</w:t>
      </w:r>
      <w:r w:rsidR="00300DCD" w:rsidRPr="00062680">
        <w:rPr>
          <w:rFonts w:ascii="標楷體" w:hint="eastAsia"/>
          <w:bCs/>
          <w:snapToGrid w:val="0"/>
          <w:sz w:val="32"/>
        </w:rPr>
        <w:t>前條各項</w:t>
      </w:r>
      <w:r w:rsidR="00300DCD" w:rsidRPr="00062680">
        <w:rPr>
          <w:rFonts w:ascii="標楷體" w:hint="eastAsia"/>
          <w:sz w:val="32"/>
        </w:rPr>
        <w:t>補償費用之請求權人如下：</w:t>
      </w:r>
    </w:p>
    <w:p w:rsidR="00300DCD" w:rsidRPr="00062680" w:rsidRDefault="00300DCD" w:rsidP="00D61023">
      <w:pPr>
        <w:adjustRightInd w:val="0"/>
        <w:snapToGrid w:val="0"/>
        <w:spacing w:line="520" w:lineRule="exact"/>
        <w:ind w:leftChars="320" w:left="768" w:firstLineChars="266" w:firstLine="851"/>
        <w:jc w:val="both"/>
        <w:rPr>
          <w:rFonts w:ascii="標楷體" w:eastAsia="標楷體" w:hAnsi="標楷體" w:hint="eastAsia"/>
          <w:color w:val="000000"/>
          <w:sz w:val="32"/>
          <w:szCs w:val="32"/>
        </w:rPr>
      </w:pPr>
      <w:r w:rsidRPr="00062680">
        <w:rPr>
          <w:rFonts w:ascii="標楷體" w:eastAsia="標楷體" w:hAnsi="標楷體" w:hint="eastAsia"/>
          <w:color w:val="000000"/>
          <w:sz w:val="32"/>
          <w:szCs w:val="32"/>
        </w:rPr>
        <w:t>一、致傷病補償金：本人或其法定代理人。</w:t>
      </w:r>
    </w:p>
    <w:p w:rsidR="00300DCD" w:rsidRPr="00062680" w:rsidRDefault="00300DCD" w:rsidP="00D61023">
      <w:pPr>
        <w:pStyle w:val="a4"/>
        <w:snapToGrid w:val="0"/>
        <w:spacing w:line="520" w:lineRule="exact"/>
        <w:ind w:leftChars="123" w:left="295" w:firstLineChars="413" w:firstLine="1322"/>
        <w:rPr>
          <w:rFonts w:ascii="標楷體" w:hAnsi="標楷體" w:hint="eastAsia"/>
          <w:color w:val="000000"/>
          <w:sz w:val="32"/>
        </w:rPr>
      </w:pPr>
      <w:r w:rsidRPr="00062680">
        <w:rPr>
          <w:rFonts w:ascii="標楷體" w:hAnsi="標楷體" w:hint="eastAsia"/>
          <w:color w:val="000000"/>
          <w:sz w:val="32"/>
          <w:szCs w:val="32"/>
        </w:rPr>
        <w:t>二、致死亡補償金：死亡者之法定繼承人。</w:t>
      </w:r>
    </w:p>
    <w:p w:rsidR="000A71F4" w:rsidRPr="000A71F4" w:rsidRDefault="000A71F4" w:rsidP="000A71F4">
      <w:pPr>
        <w:pStyle w:val="a4"/>
        <w:snapToGrid w:val="0"/>
        <w:spacing w:line="520" w:lineRule="exact"/>
        <w:ind w:leftChars="-10" w:left="898" w:hangingChars="288" w:hanging="922"/>
        <w:rPr>
          <w:rFonts w:ascii="標楷體" w:hint="eastAsia"/>
          <w:sz w:val="32"/>
        </w:rPr>
      </w:pPr>
      <w:r w:rsidRPr="000A71F4">
        <w:rPr>
          <w:rFonts w:ascii="標楷體" w:hint="eastAsia"/>
          <w:sz w:val="32"/>
        </w:rPr>
        <w:t>第五條　　請求權人申請補償費用，應填具申請書，並檢附下列文件，</w:t>
      </w:r>
      <w:proofErr w:type="gramStart"/>
      <w:r w:rsidRPr="000A71F4">
        <w:rPr>
          <w:rFonts w:ascii="標楷體" w:hint="eastAsia"/>
          <w:sz w:val="32"/>
        </w:rPr>
        <w:t>向致感染</w:t>
      </w:r>
      <w:proofErr w:type="gramEnd"/>
      <w:r w:rsidRPr="000A71F4">
        <w:rPr>
          <w:rFonts w:ascii="標楷體" w:hint="eastAsia"/>
          <w:sz w:val="32"/>
        </w:rPr>
        <w:t>者之服務機關（構）提出申請：</w:t>
      </w:r>
    </w:p>
    <w:p w:rsidR="000A71F4" w:rsidRPr="000A71F4" w:rsidRDefault="000A71F4" w:rsidP="000A71F4">
      <w:pPr>
        <w:tabs>
          <w:tab w:val="num" w:pos="2160"/>
        </w:tabs>
        <w:adjustRightInd w:val="0"/>
        <w:snapToGrid w:val="0"/>
        <w:spacing w:line="520" w:lineRule="exact"/>
        <w:ind w:leftChars="675" w:left="2260" w:hangingChars="200" w:hanging="640"/>
        <w:jc w:val="both"/>
        <w:rPr>
          <w:rFonts w:ascii="標楷體" w:eastAsia="標楷體" w:hAnsi="標楷體" w:hint="eastAsia"/>
          <w:color w:val="000000"/>
          <w:sz w:val="32"/>
          <w:szCs w:val="32"/>
        </w:rPr>
      </w:pPr>
      <w:r w:rsidRPr="000A71F4">
        <w:rPr>
          <w:rFonts w:ascii="標楷體" w:eastAsia="標楷體" w:hAnsi="標楷體" w:hint="eastAsia"/>
          <w:color w:val="000000"/>
          <w:sz w:val="32"/>
          <w:szCs w:val="32"/>
        </w:rPr>
        <w:t>一、第三條第一款：</w:t>
      </w:r>
    </w:p>
    <w:p w:rsidR="000A71F4" w:rsidRPr="000A71F4" w:rsidRDefault="000A71F4" w:rsidP="000A71F4">
      <w:pPr>
        <w:pStyle w:val="a4"/>
        <w:snapToGrid w:val="0"/>
        <w:spacing w:line="520" w:lineRule="exact"/>
        <w:ind w:leftChars="875" w:left="2740" w:hanging="640"/>
        <w:rPr>
          <w:rFonts w:ascii="標楷體" w:hint="eastAsia"/>
          <w:sz w:val="32"/>
        </w:rPr>
      </w:pPr>
      <w:r w:rsidRPr="000A71F4">
        <w:rPr>
          <w:rFonts w:ascii="標楷體" w:hint="eastAsia"/>
          <w:sz w:val="32"/>
        </w:rPr>
        <w:t>(</w:t>
      </w:r>
      <w:proofErr w:type="gramStart"/>
      <w:r w:rsidRPr="000A71F4">
        <w:rPr>
          <w:rFonts w:ascii="標楷體" w:hint="eastAsia"/>
          <w:sz w:val="32"/>
        </w:rPr>
        <w:t>一</w:t>
      </w:r>
      <w:proofErr w:type="gramEnd"/>
      <w:r w:rsidRPr="000A71F4">
        <w:rPr>
          <w:rFonts w:ascii="標楷體" w:hint="eastAsia"/>
          <w:sz w:val="32"/>
        </w:rPr>
        <w:t>)檢具醫院開立之感染人類免疫缺乏病毒診斷證明書或主管機關確認</w:t>
      </w:r>
      <w:proofErr w:type="gramStart"/>
      <w:r w:rsidRPr="000A71F4">
        <w:rPr>
          <w:rFonts w:ascii="標楷體" w:hint="eastAsia"/>
          <w:sz w:val="32"/>
        </w:rPr>
        <w:t>罹</w:t>
      </w:r>
      <w:proofErr w:type="gramEnd"/>
      <w:r w:rsidRPr="000A71F4">
        <w:rPr>
          <w:rFonts w:ascii="標楷體" w:hint="eastAsia"/>
          <w:sz w:val="32"/>
        </w:rPr>
        <w:t>患人類免疫缺乏病毒之報告。</w:t>
      </w:r>
    </w:p>
    <w:p w:rsidR="000A71F4" w:rsidRPr="000A71F4" w:rsidRDefault="000A71F4" w:rsidP="000A71F4">
      <w:pPr>
        <w:pStyle w:val="a4"/>
        <w:snapToGrid w:val="0"/>
        <w:spacing w:line="520" w:lineRule="exact"/>
        <w:ind w:leftChars="875" w:left="2740" w:hanging="640"/>
        <w:rPr>
          <w:rFonts w:ascii="標楷體" w:hint="eastAsia"/>
          <w:sz w:val="32"/>
        </w:rPr>
      </w:pPr>
      <w:r w:rsidRPr="000A71F4">
        <w:rPr>
          <w:rFonts w:ascii="標楷體" w:hint="eastAsia"/>
          <w:sz w:val="32"/>
        </w:rPr>
        <w:t>(二)致感染者及其感染來源之人類免疫缺乏病毒</w:t>
      </w:r>
      <w:proofErr w:type="gramStart"/>
      <w:r w:rsidRPr="000A71F4">
        <w:rPr>
          <w:rFonts w:ascii="標楷體" w:hint="eastAsia"/>
          <w:sz w:val="32"/>
        </w:rPr>
        <w:t>基因分型</w:t>
      </w:r>
      <w:proofErr w:type="gramEnd"/>
      <w:r w:rsidRPr="000A71F4">
        <w:rPr>
          <w:rFonts w:ascii="標楷體" w:hint="eastAsia"/>
          <w:sz w:val="32"/>
        </w:rPr>
        <w:t>（Genotying）及基因序列分析（Sequencing）等相關文件。</w:t>
      </w:r>
    </w:p>
    <w:p w:rsidR="000A71F4" w:rsidRPr="000A71F4" w:rsidRDefault="000A71F4" w:rsidP="000A71F4">
      <w:pPr>
        <w:pStyle w:val="a4"/>
        <w:snapToGrid w:val="0"/>
        <w:spacing w:line="520" w:lineRule="exact"/>
        <w:ind w:leftChars="875" w:left="2740" w:hanging="640"/>
        <w:rPr>
          <w:rFonts w:ascii="標楷體" w:hint="eastAsia"/>
          <w:sz w:val="32"/>
        </w:rPr>
      </w:pPr>
      <w:r w:rsidRPr="000A71F4">
        <w:rPr>
          <w:rFonts w:ascii="標楷體" w:hint="eastAsia"/>
          <w:sz w:val="32"/>
        </w:rPr>
        <w:t>(三)</w:t>
      </w:r>
      <w:proofErr w:type="gramStart"/>
      <w:r w:rsidRPr="000A71F4">
        <w:rPr>
          <w:rFonts w:ascii="標楷體" w:hint="eastAsia"/>
          <w:sz w:val="32"/>
        </w:rPr>
        <w:t>檢具因提供</w:t>
      </w:r>
      <w:proofErr w:type="gramEnd"/>
      <w:r w:rsidRPr="000A71F4">
        <w:rPr>
          <w:rFonts w:ascii="標楷體" w:hint="eastAsia"/>
          <w:sz w:val="32"/>
        </w:rPr>
        <w:t>感染者服務工作或執行本條例相關防治工作致感染人類免疫缺乏病毒證明文件，並經疾病管制署認定。</w:t>
      </w:r>
    </w:p>
    <w:p w:rsidR="000A71F4" w:rsidRPr="000A71F4" w:rsidRDefault="000A71F4" w:rsidP="000A71F4">
      <w:pPr>
        <w:pStyle w:val="a4"/>
        <w:snapToGrid w:val="0"/>
        <w:spacing w:line="520" w:lineRule="exact"/>
        <w:ind w:leftChars="875" w:left="2740" w:hanging="640"/>
        <w:rPr>
          <w:rFonts w:ascii="標楷體" w:hint="eastAsia"/>
          <w:sz w:val="32"/>
        </w:rPr>
      </w:pPr>
      <w:r w:rsidRPr="000A71F4">
        <w:rPr>
          <w:rFonts w:ascii="標楷體" w:hint="eastAsia"/>
          <w:sz w:val="32"/>
        </w:rPr>
        <w:t>(四)國民身分證正反面影本。</w:t>
      </w:r>
    </w:p>
    <w:p w:rsidR="000A71F4" w:rsidRPr="000A71F4" w:rsidRDefault="000A71F4" w:rsidP="000A71F4">
      <w:pPr>
        <w:pStyle w:val="a4"/>
        <w:snapToGrid w:val="0"/>
        <w:spacing w:line="520" w:lineRule="exact"/>
        <w:ind w:leftChars="875" w:left="2740" w:hanging="640"/>
        <w:rPr>
          <w:rFonts w:ascii="標楷體" w:hint="eastAsia"/>
          <w:sz w:val="32"/>
        </w:rPr>
      </w:pPr>
      <w:r w:rsidRPr="000A71F4">
        <w:rPr>
          <w:rFonts w:ascii="標楷體" w:hint="eastAsia"/>
          <w:sz w:val="32"/>
        </w:rPr>
        <w:t>(五)其他經中央主管機關規定應檢附之文件。</w:t>
      </w:r>
    </w:p>
    <w:p w:rsidR="000A71F4" w:rsidRPr="000A71F4" w:rsidRDefault="000A71F4" w:rsidP="000A71F4">
      <w:pPr>
        <w:tabs>
          <w:tab w:val="num" w:pos="2160"/>
        </w:tabs>
        <w:adjustRightInd w:val="0"/>
        <w:snapToGrid w:val="0"/>
        <w:spacing w:line="520" w:lineRule="exact"/>
        <w:ind w:leftChars="675" w:left="2260" w:hangingChars="200" w:hanging="640"/>
        <w:jc w:val="both"/>
        <w:rPr>
          <w:rFonts w:ascii="標楷體" w:eastAsia="標楷體" w:hAnsi="標楷體" w:hint="eastAsia"/>
          <w:color w:val="000000"/>
          <w:sz w:val="32"/>
          <w:szCs w:val="32"/>
        </w:rPr>
      </w:pPr>
      <w:r w:rsidRPr="000A71F4">
        <w:rPr>
          <w:rFonts w:ascii="標楷體" w:eastAsia="標楷體" w:hAnsi="標楷體" w:hint="eastAsia"/>
          <w:color w:val="000000"/>
          <w:sz w:val="32"/>
          <w:szCs w:val="32"/>
        </w:rPr>
        <w:t>二、第三條第二款：</w:t>
      </w:r>
    </w:p>
    <w:p w:rsidR="000A71F4" w:rsidRPr="000A71F4" w:rsidRDefault="000A71F4" w:rsidP="000A71F4">
      <w:pPr>
        <w:pStyle w:val="a4"/>
        <w:snapToGrid w:val="0"/>
        <w:spacing w:line="520" w:lineRule="exact"/>
        <w:ind w:leftChars="875" w:left="2740" w:hanging="640"/>
        <w:rPr>
          <w:rFonts w:ascii="標楷體" w:hint="eastAsia"/>
          <w:sz w:val="32"/>
        </w:rPr>
      </w:pPr>
      <w:r w:rsidRPr="000A71F4">
        <w:rPr>
          <w:rFonts w:ascii="標楷體" w:hint="eastAsia"/>
          <w:sz w:val="32"/>
        </w:rPr>
        <w:t>(</w:t>
      </w:r>
      <w:proofErr w:type="gramStart"/>
      <w:r w:rsidRPr="000A71F4">
        <w:rPr>
          <w:rFonts w:ascii="標楷體" w:hint="eastAsia"/>
          <w:sz w:val="32"/>
        </w:rPr>
        <w:t>一</w:t>
      </w:r>
      <w:proofErr w:type="gramEnd"/>
      <w:r w:rsidRPr="000A71F4">
        <w:rPr>
          <w:rFonts w:ascii="標楷體" w:hint="eastAsia"/>
          <w:sz w:val="32"/>
        </w:rPr>
        <w:t>)第一款各目規定文件。</w:t>
      </w:r>
    </w:p>
    <w:p w:rsidR="000A71F4" w:rsidRPr="000A71F4" w:rsidRDefault="000A71F4" w:rsidP="000A71F4">
      <w:pPr>
        <w:pStyle w:val="a4"/>
        <w:snapToGrid w:val="0"/>
        <w:spacing w:line="520" w:lineRule="exact"/>
        <w:ind w:leftChars="875" w:left="2740" w:hanging="640"/>
        <w:rPr>
          <w:rFonts w:ascii="標楷體" w:hint="eastAsia"/>
          <w:sz w:val="32"/>
        </w:rPr>
      </w:pPr>
      <w:r w:rsidRPr="000A71F4">
        <w:rPr>
          <w:rFonts w:ascii="標楷體" w:hint="eastAsia"/>
          <w:sz w:val="32"/>
        </w:rPr>
        <w:t>(二)醫院出具死亡原因為感染人類免疫缺乏病毒所致之證明文件。</w:t>
      </w:r>
    </w:p>
    <w:p w:rsidR="000A71F4" w:rsidRPr="000A71F4" w:rsidRDefault="000A71F4" w:rsidP="000A71F4">
      <w:pPr>
        <w:pStyle w:val="a4"/>
        <w:snapToGrid w:val="0"/>
        <w:spacing w:line="520" w:lineRule="exact"/>
        <w:ind w:leftChars="875" w:left="2740" w:hanging="640"/>
        <w:rPr>
          <w:rFonts w:ascii="標楷體" w:hint="eastAsia"/>
          <w:sz w:val="32"/>
        </w:rPr>
      </w:pPr>
      <w:r w:rsidRPr="000A71F4">
        <w:rPr>
          <w:rFonts w:ascii="標楷體" w:hint="eastAsia"/>
          <w:sz w:val="32"/>
        </w:rPr>
        <w:t>(三)死亡者除戶戶籍謄本。</w:t>
      </w:r>
    </w:p>
    <w:p w:rsidR="000A71F4" w:rsidRDefault="000A71F4" w:rsidP="000A71F4">
      <w:pPr>
        <w:pStyle w:val="a4"/>
        <w:snapToGrid w:val="0"/>
        <w:spacing w:line="520" w:lineRule="exact"/>
        <w:ind w:leftChars="875" w:left="2740" w:hanging="640"/>
        <w:rPr>
          <w:rFonts w:ascii="標楷體" w:hint="eastAsia"/>
          <w:sz w:val="32"/>
        </w:rPr>
      </w:pPr>
      <w:r w:rsidRPr="000A71F4">
        <w:rPr>
          <w:rFonts w:ascii="標楷體" w:hint="eastAsia"/>
          <w:sz w:val="32"/>
        </w:rPr>
        <w:t>(四)全戶戶籍謄本（應能檢視與死亡者之遺族關係，如前目資料已足證明者得免）。</w:t>
      </w:r>
    </w:p>
    <w:p w:rsidR="00300DCD" w:rsidRPr="0036216B" w:rsidRDefault="007A1C42" w:rsidP="000A71F4">
      <w:pPr>
        <w:pStyle w:val="a4"/>
        <w:snapToGrid w:val="0"/>
        <w:spacing w:line="520" w:lineRule="exact"/>
        <w:ind w:leftChars="0" w:left="899" w:hangingChars="281" w:hanging="899"/>
        <w:rPr>
          <w:rFonts w:hint="eastAsia"/>
          <w:sz w:val="32"/>
        </w:rPr>
      </w:pPr>
      <w:r w:rsidRPr="0036216B">
        <w:rPr>
          <w:rFonts w:hint="eastAsia"/>
          <w:sz w:val="32"/>
        </w:rPr>
        <w:t xml:space="preserve">第六條　　</w:t>
      </w:r>
      <w:r w:rsidR="00300DCD" w:rsidRPr="0036216B">
        <w:rPr>
          <w:rFonts w:cs="Arial" w:hint="eastAsia"/>
          <w:sz w:val="32"/>
        </w:rPr>
        <w:t>致感染者</w:t>
      </w:r>
      <w:r w:rsidR="00300DCD" w:rsidRPr="0036216B">
        <w:rPr>
          <w:rFonts w:hint="eastAsia"/>
          <w:sz w:val="32"/>
        </w:rPr>
        <w:t>之</w:t>
      </w:r>
      <w:r w:rsidR="00300DCD" w:rsidRPr="0036216B">
        <w:rPr>
          <w:rFonts w:hint="eastAsia"/>
          <w:bCs/>
          <w:snapToGrid w:val="0"/>
          <w:sz w:val="32"/>
        </w:rPr>
        <w:t>服務機關（構）應於受理</w:t>
      </w:r>
      <w:r w:rsidR="00300DCD" w:rsidRPr="0036216B">
        <w:rPr>
          <w:rFonts w:hint="eastAsia"/>
          <w:sz w:val="32"/>
        </w:rPr>
        <w:t>或資料齊全</w:t>
      </w:r>
      <w:r w:rsidR="00300DCD" w:rsidRPr="0036216B">
        <w:rPr>
          <w:sz w:val="32"/>
        </w:rPr>
        <w:t>之</w:t>
      </w:r>
      <w:r w:rsidR="00300DCD" w:rsidRPr="0036216B">
        <w:rPr>
          <w:rFonts w:hint="eastAsia"/>
          <w:sz w:val="32"/>
        </w:rPr>
        <w:t>日起三</w:t>
      </w:r>
      <w:r w:rsidR="00300DCD" w:rsidRPr="0036216B">
        <w:rPr>
          <w:sz w:val="32"/>
        </w:rPr>
        <w:t>個月內完成審定。必要時，得</w:t>
      </w:r>
      <w:r w:rsidR="00300DCD" w:rsidRPr="0036216B">
        <w:rPr>
          <w:rFonts w:hint="eastAsia"/>
          <w:sz w:val="32"/>
        </w:rPr>
        <w:t>予</w:t>
      </w:r>
      <w:r w:rsidR="00300DCD" w:rsidRPr="0036216B">
        <w:rPr>
          <w:sz w:val="32"/>
        </w:rPr>
        <w:t>延長</w:t>
      </w:r>
      <w:r w:rsidR="00300DCD" w:rsidRPr="0036216B">
        <w:rPr>
          <w:rFonts w:hint="eastAsia"/>
          <w:sz w:val="32"/>
        </w:rPr>
        <w:t>一次，並以二</w:t>
      </w:r>
      <w:r w:rsidR="00300DCD" w:rsidRPr="0036216B">
        <w:rPr>
          <w:sz w:val="32"/>
        </w:rPr>
        <w:t>個月</w:t>
      </w:r>
      <w:r w:rsidR="00300DCD" w:rsidRPr="0036216B">
        <w:rPr>
          <w:rFonts w:hint="eastAsia"/>
          <w:sz w:val="32"/>
        </w:rPr>
        <w:t>為限</w:t>
      </w:r>
      <w:r w:rsidR="00300DCD" w:rsidRPr="0036216B">
        <w:rPr>
          <w:sz w:val="32"/>
        </w:rPr>
        <w:t>。</w:t>
      </w:r>
      <w:r w:rsidR="00300DCD" w:rsidRPr="0036216B">
        <w:rPr>
          <w:rFonts w:hint="eastAsia"/>
          <w:sz w:val="32"/>
        </w:rPr>
        <w:t>受理後因申請人提具之資料不全者，得通知其限期補正。</w:t>
      </w:r>
    </w:p>
    <w:p w:rsidR="00300DCD" w:rsidRPr="0036216B" w:rsidRDefault="007A1C42" w:rsidP="00D61023">
      <w:pPr>
        <w:pStyle w:val="a4"/>
        <w:snapToGrid w:val="0"/>
        <w:spacing w:line="520" w:lineRule="exact"/>
        <w:ind w:leftChars="-10" w:left="898" w:hangingChars="288" w:hanging="922"/>
        <w:rPr>
          <w:rFonts w:ascii="標楷體" w:hint="eastAsia"/>
          <w:sz w:val="32"/>
        </w:rPr>
      </w:pPr>
      <w:r w:rsidRPr="0036216B">
        <w:rPr>
          <w:rFonts w:ascii="標楷體" w:hint="eastAsia"/>
          <w:sz w:val="32"/>
        </w:rPr>
        <w:t xml:space="preserve">第七條　　</w:t>
      </w:r>
      <w:r w:rsidR="00300DCD" w:rsidRPr="0036216B">
        <w:rPr>
          <w:rFonts w:ascii="標楷體" w:cs="Arial" w:hint="eastAsia"/>
          <w:sz w:val="32"/>
        </w:rPr>
        <w:t>致感染者</w:t>
      </w:r>
      <w:r w:rsidR="00300DCD" w:rsidRPr="0036216B">
        <w:rPr>
          <w:rFonts w:ascii="標楷體" w:hint="eastAsia"/>
          <w:sz w:val="32"/>
        </w:rPr>
        <w:t>之</w:t>
      </w:r>
      <w:r w:rsidR="00300DCD" w:rsidRPr="0036216B">
        <w:rPr>
          <w:rFonts w:ascii="標楷體" w:hint="eastAsia"/>
          <w:bCs/>
          <w:snapToGrid w:val="0"/>
          <w:sz w:val="32"/>
        </w:rPr>
        <w:t>服務機關（構）</w:t>
      </w:r>
      <w:r w:rsidR="00300DCD" w:rsidRPr="0036216B">
        <w:rPr>
          <w:rFonts w:ascii="標楷體" w:hint="eastAsia"/>
          <w:sz w:val="32"/>
        </w:rPr>
        <w:t>應將</w:t>
      </w:r>
      <w:r w:rsidR="00300DCD" w:rsidRPr="0036216B">
        <w:rPr>
          <w:rFonts w:ascii="標楷體"/>
          <w:sz w:val="32"/>
        </w:rPr>
        <w:t>審定結果以書面通知</w:t>
      </w:r>
      <w:r w:rsidR="00300DCD" w:rsidRPr="0036216B">
        <w:rPr>
          <w:rFonts w:ascii="標楷體" w:hint="eastAsia"/>
          <w:sz w:val="32"/>
        </w:rPr>
        <w:t>申請人，並副</w:t>
      </w:r>
      <w:proofErr w:type="gramStart"/>
      <w:r w:rsidR="00300DCD" w:rsidRPr="0036216B">
        <w:rPr>
          <w:rFonts w:ascii="標楷體" w:hint="eastAsia"/>
          <w:sz w:val="32"/>
        </w:rPr>
        <w:t>知</w:t>
      </w:r>
      <w:r w:rsidR="00300DCD" w:rsidRPr="0036216B">
        <w:rPr>
          <w:rFonts w:ascii="標楷體" w:cs="Arial" w:hint="eastAsia"/>
          <w:sz w:val="32"/>
        </w:rPr>
        <w:t>致感染者現</w:t>
      </w:r>
      <w:proofErr w:type="gramEnd"/>
      <w:r w:rsidR="00300DCD" w:rsidRPr="0036216B">
        <w:rPr>
          <w:rFonts w:ascii="標楷體" w:cs="Arial" w:hint="eastAsia"/>
          <w:sz w:val="32"/>
        </w:rPr>
        <w:t>居地及</w:t>
      </w:r>
      <w:r w:rsidR="00300DCD" w:rsidRPr="0036216B">
        <w:rPr>
          <w:rFonts w:ascii="標楷體" w:hint="eastAsia"/>
          <w:bCs/>
          <w:snapToGrid w:val="0"/>
          <w:sz w:val="32"/>
        </w:rPr>
        <w:t>服務機關（構）</w:t>
      </w:r>
      <w:r w:rsidR="00300DCD" w:rsidRPr="0036216B">
        <w:rPr>
          <w:rFonts w:ascii="標楷體" w:cs="Arial" w:hint="eastAsia"/>
          <w:sz w:val="32"/>
        </w:rPr>
        <w:t>所在地之</w:t>
      </w:r>
      <w:r w:rsidR="00300DCD" w:rsidRPr="0036216B">
        <w:rPr>
          <w:rFonts w:ascii="標楷體" w:hint="eastAsia"/>
          <w:sz w:val="32"/>
        </w:rPr>
        <w:t>地方主管機關。</w:t>
      </w:r>
    </w:p>
    <w:p w:rsidR="00300DCD" w:rsidRPr="0036216B" w:rsidRDefault="007A1C42" w:rsidP="00D61023">
      <w:pPr>
        <w:pStyle w:val="a4"/>
        <w:snapToGrid w:val="0"/>
        <w:spacing w:line="520" w:lineRule="exact"/>
        <w:ind w:leftChars="-10" w:left="898" w:hangingChars="288" w:hanging="922"/>
        <w:rPr>
          <w:rFonts w:hint="eastAsia"/>
          <w:sz w:val="32"/>
        </w:rPr>
      </w:pPr>
      <w:r w:rsidRPr="0036216B">
        <w:rPr>
          <w:rFonts w:hint="eastAsia"/>
          <w:sz w:val="32"/>
        </w:rPr>
        <w:t xml:space="preserve">第八條　　</w:t>
      </w:r>
      <w:r w:rsidR="00300DCD" w:rsidRPr="0036216B">
        <w:rPr>
          <w:rFonts w:cs="Arial" w:hint="eastAsia"/>
          <w:sz w:val="32"/>
        </w:rPr>
        <w:t>致感染者</w:t>
      </w:r>
      <w:r w:rsidR="00300DCD" w:rsidRPr="0036216B">
        <w:rPr>
          <w:rFonts w:hint="eastAsia"/>
          <w:sz w:val="32"/>
        </w:rPr>
        <w:t>之</w:t>
      </w:r>
      <w:r w:rsidR="00300DCD" w:rsidRPr="0036216B">
        <w:rPr>
          <w:rFonts w:hint="eastAsia"/>
          <w:bCs/>
          <w:snapToGrid w:val="0"/>
          <w:sz w:val="32"/>
        </w:rPr>
        <w:t>服務機關（構）</w:t>
      </w:r>
      <w:r w:rsidR="00300DCD" w:rsidRPr="0036216B">
        <w:rPr>
          <w:rFonts w:hint="eastAsia"/>
          <w:sz w:val="32"/>
        </w:rPr>
        <w:t>應於審定結果書面通知申請人之日起三個月內，完成補償費用之撥付手續。但申請人對補償費用之審定結果不服者，不在此限。</w:t>
      </w:r>
    </w:p>
    <w:p w:rsidR="00300DCD" w:rsidRPr="0036216B" w:rsidRDefault="0036216B" w:rsidP="00D61023">
      <w:pPr>
        <w:pStyle w:val="a4"/>
        <w:snapToGrid w:val="0"/>
        <w:spacing w:line="520" w:lineRule="exact"/>
        <w:ind w:leftChars="374" w:left="898" w:firstLineChars="0" w:firstLine="2"/>
        <w:rPr>
          <w:rFonts w:ascii="標楷體" w:hAnsi="標楷體" w:hint="eastAsia"/>
          <w:color w:val="000000"/>
          <w:sz w:val="32"/>
        </w:rPr>
      </w:pPr>
      <w:r w:rsidRPr="0036216B">
        <w:rPr>
          <w:rFonts w:ascii="標楷體" w:hint="eastAsia"/>
          <w:sz w:val="32"/>
        </w:rPr>
        <w:t xml:space="preserve">　　</w:t>
      </w:r>
      <w:r w:rsidR="00300DCD" w:rsidRPr="0036216B">
        <w:rPr>
          <w:rFonts w:ascii="標楷體" w:hAnsi="標楷體" w:hint="eastAsia"/>
          <w:bCs/>
          <w:snapToGrid w:val="0"/>
          <w:color w:val="000000"/>
          <w:spacing w:val="-4"/>
          <w:sz w:val="32"/>
          <w:szCs w:val="32"/>
        </w:rPr>
        <w:t>前項</w:t>
      </w:r>
      <w:r w:rsidR="00300DCD" w:rsidRPr="0036216B">
        <w:rPr>
          <w:rFonts w:ascii="標楷體" w:hAnsi="標楷體" w:hint="eastAsia"/>
          <w:bCs/>
          <w:snapToGrid w:val="0"/>
          <w:color w:val="000000"/>
          <w:sz w:val="32"/>
          <w:szCs w:val="32"/>
        </w:rPr>
        <w:t>服務機關（構）</w:t>
      </w:r>
      <w:r w:rsidR="00300DCD" w:rsidRPr="0036216B">
        <w:rPr>
          <w:rFonts w:ascii="標楷體" w:hAnsi="標楷體" w:hint="eastAsia"/>
          <w:bCs/>
          <w:snapToGrid w:val="0"/>
          <w:color w:val="000000"/>
          <w:spacing w:val="-4"/>
          <w:sz w:val="32"/>
          <w:szCs w:val="32"/>
        </w:rPr>
        <w:t>給付</w:t>
      </w:r>
      <w:r w:rsidR="00300DCD" w:rsidRPr="0036216B">
        <w:rPr>
          <w:rFonts w:ascii="標楷體" w:hAnsi="標楷體" w:hint="eastAsia"/>
          <w:color w:val="000000"/>
          <w:sz w:val="32"/>
          <w:szCs w:val="32"/>
        </w:rPr>
        <w:t>補償</w:t>
      </w:r>
      <w:r w:rsidR="00300DCD" w:rsidRPr="0036216B">
        <w:rPr>
          <w:rFonts w:ascii="標楷體" w:hAnsi="標楷體" w:hint="eastAsia"/>
          <w:bCs/>
          <w:snapToGrid w:val="0"/>
          <w:color w:val="000000"/>
          <w:spacing w:val="-4"/>
          <w:sz w:val="32"/>
          <w:szCs w:val="32"/>
        </w:rPr>
        <w:t>費用，得依所得稅法及相關規定</w:t>
      </w:r>
      <w:proofErr w:type="gramStart"/>
      <w:r w:rsidR="00300DCD" w:rsidRPr="0036216B">
        <w:rPr>
          <w:rFonts w:ascii="標楷體" w:hAnsi="標楷體" w:hint="eastAsia"/>
          <w:bCs/>
          <w:snapToGrid w:val="0"/>
          <w:color w:val="000000"/>
          <w:spacing w:val="-4"/>
          <w:sz w:val="32"/>
          <w:szCs w:val="32"/>
        </w:rPr>
        <w:t>列為損費項目</w:t>
      </w:r>
      <w:proofErr w:type="gramEnd"/>
      <w:r w:rsidR="00300DCD" w:rsidRPr="0036216B">
        <w:rPr>
          <w:rFonts w:ascii="標楷體" w:hAnsi="標楷體" w:hint="eastAsia"/>
          <w:bCs/>
          <w:snapToGrid w:val="0"/>
          <w:color w:val="000000"/>
          <w:spacing w:val="-4"/>
          <w:sz w:val="32"/>
          <w:szCs w:val="32"/>
        </w:rPr>
        <w:t>。</w:t>
      </w:r>
    </w:p>
    <w:p w:rsidR="00300DCD" w:rsidRPr="008C0D0D" w:rsidRDefault="007A1C42" w:rsidP="00D61023">
      <w:pPr>
        <w:pStyle w:val="a4"/>
        <w:snapToGrid w:val="0"/>
        <w:spacing w:line="520" w:lineRule="exact"/>
        <w:ind w:leftChars="-10" w:left="936" w:hangingChars="300" w:hanging="960"/>
        <w:rPr>
          <w:rFonts w:ascii="標楷體" w:hint="eastAsia"/>
          <w:snapToGrid w:val="0"/>
          <w:sz w:val="32"/>
        </w:rPr>
      </w:pPr>
      <w:r w:rsidRPr="008C0D0D">
        <w:rPr>
          <w:rFonts w:ascii="標楷體" w:hint="eastAsia"/>
          <w:sz w:val="32"/>
        </w:rPr>
        <w:t xml:space="preserve">第九條　　</w:t>
      </w:r>
      <w:r w:rsidR="00300DCD" w:rsidRPr="008C0D0D">
        <w:rPr>
          <w:rFonts w:ascii="標楷體" w:hint="eastAsia"/>
          <w:snapToGrid w:val="0"/>
          <w:sz w:val="32"/>
        </w:rPr>
        <w:t>前條申請人對補償費用之審定結果不服時，得依法提起訴願。</w:t>
      </w:r>
    </w:p>
    <w:p w:rsidR="00300DCD" w:rsidRPr="008C0D0D" w:rsidRDefault="007A1C42" w:rsidP="00D61023">
      <w:pPr>
        <w:pStyle w:val="a4"/>
        <w:snapToGrid w:val="0"/>
        <w:spacing w:line="520" w:lineRule="exact"/>
        <w:ind w:leftChars="-4" w:left="950" w:hangingChars="300" w:hanging="960"/>
        <w:rPr>
          <w:rFonts w:ascii="標楷體" w:hint="eastAsia"/>
          <w:sz w:val="32"/>
        </w:rPr>
      </w:pPr>
      <w:r w:rsidRPr="008C0D0D">
        <w:rPr>
          <w:rFonts w:ascii="標楷體" w:hint="eastAsia"/>
          <w:sz w:val="32"/>
        </w:rPr>
        <w:t xml:space="preserve">第十條　　</w:t>
      </w:r>
      <w:r w:rsidR="00300DCD" w:rsidRPr="008C0D0D">
        <w:rPr>
          <w:rFonts w:ascii="標楷體" w:hint="eastAsia"/>
          <w:bCs/>
          <w:snapToGrid w:val="0"/>
          <w:sz w:val="32"/>
        </w:rPr>
        <w:t>本辦法之各項補償費用，由各服務機關</w:t>
      </w:r>
      <w:r w:rsidR="00300DCD" w:rsidRPr="008C0D0D">
        <w:rPr>
          <w:rFonts w:ascii="標楷體" w:hint="eastAsia"/>
          <w:sz w:val="32"/>
        </w:rPr>
        <w:t>（構）之年度預算支應；受行政機關（構）委託行使公權力致感染之補償費用，得由委託之行政機關（構）補償。</w:t>
      </w:r>
    </w:p>
    <w:p w:rsidR="00300DCD" w:rsidRPr="008C0D0D" w:rsidRDefault="0056550A" w:rsidP="00D61023">
      <w:pPr>
        <w:pStyle w:val="a4"/>
        <w:snapToGrid w:val="0"/>
        <w:spacing w:line="520" w:lineRule="exact"/>
        <w:ind w:leftChars="0" w:left="-10" w:firstLineChars="0" w:firstLine="0"/>
        <w:rPr>
          <w:rFonts w:ascii="標楷體" w:hint="eastAsia"/>
          <w:sz w:val="32"/>
        </w:rPr>
      </w:pPr>
      <w:r w:rsidRPr="008C0D0D">
        <w:rPr>
          <w:rFonts w:ascii="標楷體" w:hint="eastAsia"/>
          <w:sz w:val="32"/>
        </w:rPr>
        <w:t xml:space="preserve">第十一條　　</w:t>
      </w:r>
      <w:r w:rsidR="00300DCD" w:rsidRPr="008C0D0D">
        <w:rPr>
          <w:rFonts w:ascii="標楷體" w:hint="eastAsia"/>
          <w:sz w:val="32"/>
        </w:rPr>
        <w:t>本辦法自發布日施行。</w:t>
      </w:r>
    </w:p>
    <w:p w:rsidR="0056550A" w:rsidRPr="008C0D0D" w:rsidRDefault="0056550A" w:rsidP="00D61023">
      <w:pPr>
        <w:pStyle w:val="a4"/>
        <w:snapToGrid w:val="0"/>
        <w:spacing w:line="520" w:lineRule="exact"/>
        <w:ind w:leftChars="0" w:left="-10" w:firstLineChars="0" w:firstLine="0"/>
        <w:rPr>
          <w:rFonts w:ascii="標楷體"/>
          <w:sz w:val="32"/>
          <w:szCs w:val="32"/>
        </w:rPr>
      </w:pPr>
    </w:p>
    <w:sectPr w:rsidR="0056550A" w:rsidRPr="008C0D0D">
      <w:footerReference w:type="even" r:id="rId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405" w:rsidRDefault="00F33405">
      <w:r>
        <w:separator/>
      </w:r>
    </w:p>
  </w:endnote>
  <w:endnote w:type="continuationSeparator" w:id="1">
    <w:p w:rsidR="00F33405" w:rsidRDefault="00F334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026" w:rsidRDefault="0026602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66026" w:rsidRDefault="0026602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026" w:rsidRDefault="0026602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067CB">
      <w:rPr>
        <w:rStyle w:val="a6"/>
        <w:noProof/>
      </w:rPr>
      <w:t>1</w:t>
    </w:r>
    <w:r>
      <w:rPr>
        <w:rStyle w:val="a6"/>
      </w:rPr>
      <w:fldChar w:fldCharType="end"/>
    </w:r>
  </w:p>
  <w:p w:rsidR="00266026" w:rsidRDefault="002660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405" w:rsidRDefault="00F33405">
      <w:r>
        <w:separator/>
      </w:r>
    </w:p>
  </w:footnote>
  <w:footnote w:type="continuationSeparator" w:id="1">
    <w:p w:rsidR="00F33405" w:rsidRDefault="00F334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74D4F"/>
    <w:multiLevelType w:val="hybridMultilevel"/>
    <w:tmpl w:val="B4EEB0D2"/>
    <w:lvl w:ilvl="0" w:tplc="E3A61878">
      <w:start w:val="9"/>
      <w:numFmt w:val="taiwaneseCountingThousand"/>
      <w:lvlText w:val="第%1條"/>
      <w:lvlJc w:val="left"/>
      <w:pPr>
        <w:tabs>
          <w:tab w:val="num" w:pos="1056"/>
        </w:tabs>
        <w:ind w:left="1056" w:hanging="1080"/>
      </w:pPr>
      <w:rPr>
        <w:rFonts w:hint="default"/>
        <w:b w:val="0"/>
        <w:sz w:val="32"/>
        <w:szCs w:val="32"/>
      </w:rPr>
    </w:lvl>
    <w:lvl w:ilvl="1" w:tplc="04090019" w:tentative="1">
      <w:start w:val="1"/>
      <w:numFmt w:val="ideographTraditional"/>
      <w:lvlText w:val="%2、"/>
      <w:lvlJc w:val="left"/>
      <w:pPr>
        <w:tabs>
          <w:tab w:val="num" w:pos="936"/>
        </w:tabs>
        <w:ind w:left="936" w:hanging="480"/>
      </w:pPr>
    </w:lvl>
    <w:lvl w:ilvl="2" w:tplc="0409001B" w:tentative="1">
      <w:start w:val="1"/>
      <w:numFmt w:val="lowerRoman"/>
      <w:lvlText w:val="%3."/>
      <w:lvlJc w:val="right"/>
      <w:pPr>
        <w:tabs>
          <w:tab w:val="num" w:pos="1416"/>
        </w:tabs>
        <w:ind w:left="1416" w:hanging="480"/>
      </w:pPr>
    </w:lvl>
    <w:lvl w:ilvl="3" w:tplc="0409000F" w:tentative="1">
      <w:start w:val="1"/>
      <w:numFmt w:val="decimal"/>
      <w:lvlText w:val="%4."/>
      <w:lvlJc w:val="left"/>
      <w:pPr>
        <w:tabs>
          <w:tab w:val="num" w:pos="1896"/>
        </w:tabs>
        <w:ind w:left="1896" w:hanging="480"/>
      </w:pPr>
    </w:lvl>
    <w:lvl w:ilvl="4" w:tplc="04090019" w:tentative="1">
      <w:start w:val="1"/>
      <w:numFmt w:val="ideographTraditional"/>
      <w:lvlText w:val="%5、"/>
      <w:lvlJc w:val="left"/>
      <w:pPr>
        <w:tabs>
          <w:tab w:val="num" w:pos="2376"/>
        </w:tabs>
        <w:ind w:left="2376" w:hanging="480"/>
      </w:pPr>
    </w:lvl>
    <w:lvl w:ilvl="5" w:tplc="0409001B" w:tentative="1">
      <w:start w:val="1"/>
      <w:numFmt w:val="lowerRoman"/>
      <w:lvlText w:val="%6."/>
      <w:lvlJc w:val="right"/>
      <w:pPr>
        <w:tabs>
          <w:tab w:val="num" w:pos="2856"/>
        </w:tabs>
        <w:ind w:left="2856" w:hanging="480"/>
      </w:pPr>
    </w:lvl>
    <w:lvl w:ilvl="6" w:tplc="0409000F" w:tentative="1">
      <w:start w:val="1"/>
      <w:numFmt w:val="decimal"/>
      <w:lvlText w:val="%7."/>
      <w:lvlJc w:val="left"/>
      <w:pPr>
        <w:tabs>
          <w:tab w:val="num" w:pos="3336"/>
        </w:tabs>
        <w:ind w:left="3336" w:hanging="480"/>
      </w:pPr>
    </w:lvl>
    <w:lvl w:ilvl="7" w:tplc="04090019" w:tentative="1">
      <w:start w:val="1"/>
      <w:numFmt w:val="ideographTraditional"/>
      <w:lvlText w:val="%8、"/>
      <w:lvlJc w:val="left"/>
      <w:pPr>
        <w:tabs>
          <w:tab w:val="num" w:pos="3816"/>
        </w:tabs>
        <w:ind w:left="3816" w:hanging="480"/>
      </w:pPr>
    </w:lvl>
    <w:lvl w:ilvl="8" w:tplc="0409001B" w:tentative="1">
      <w:start w:val="1"/>
      <w:numFmt w:val="lowerRoman"/>
      <w:lvlText w:val="%9."/>
      <w:lvlJc w:val="right"/>
      <w:pPr>
        <w:tabs>
          <w:tab w:val="num" w:pos="4296"/>
        </w:tabs>
        <w:ind w:left="4296" w:hanging="480"/>
      </w:pPr>
    </w:lvl>
  </w:abstractNum>
  <w:abstractNum w:abstractNumId="1">
    <w:nsid w:val="5847606D"/>
    <w:multiLevelType w:val="multilevel"/>
    <w:tmpl w:val="D5024652"/>
    <w:lvl w:ilvl="0">
      <w:start w:val="1"/>
      <w:numFmt w:val="taiwaneseCountingThousand"/>
      <w:pStyle w:val="a"/>
      <w:suff w:val="nothing"/>
      <w:lvlText w:val="%1、"/>
      <w:lvlJc w:val="left"/>
      <w:pPr>
        <w:ind w:left="1077" w:hanging="714"/>
      </w:pPr>
      <w:rPr>
        <w:rFonts w:hint="eastAsia"/>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89" w:hanging="737"/>
      </w:pPr>
      <w:rPr>
        <w:rFonts w:hint="eastAsia"/>
      </w:rPr>
    </w:lvl>
    <w:lvl w:ilvl="3">
      <w:start w:val="1"/>
      <w:numFmt w:val="decimalFullWidth"/>
      <w:suff w:val="nothing"/>
      <w:lvlText w:val="（%4）"/>
      <w:lvlJc w:val="left"/>
      <w:pPr>
        <w:ind w:left="2903" w:hanging="1089"/>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nsid w:val="61B77150"/>
    <w:multiLevelType w:val="hybridMultilevel"/>
    <w:tmpl w:val="B1CEB738"/>
    <w:lvl w:ilvl="0" w:tplc="D0F03604">
      <w:start w:val="1"/>
      <w:numFmt w:val="taiwaneseCountingThousand"/>
      <w:lvlText w:val="%1、"/>
      <w:lvlJc w:val="left"/>
      <w:pPr>
        <w:tabs>
          <w:tab w:val="num" w:pos="1897"/>
        </w:tabs>
        <w:ind w:left="1897" w:hanging="720"/>
      </w:pPr>
      <w:rPr>
        <w:rFonts w:ascii="Arial Narrow" w:hAnsi="Arial Narrow" w:hint="default"/>
      </w:rPr>
    </w:lvl>
    <w:lvl w:ilvl="1" w:tplc="04090019" w:tentative="1">
      <w:start w:val="1"/>
      <w:numFmt w:val="ideographTraditional"/>
      <w:lvlText w:val="%2、"/>
      <w:lvlJc w:val="left"/>
      <w:pPr>
        <w:tabs>
          <w:tab w:val="num" w:pos="2137"/>
        </w:tabs>
        <w:ind w:left="2137" w:hanging="480"/>
      </w:pPr>
    </w:lvl>
    <w:lvl w:ilvl="2" w:tplc="0409001B" w:tentative="1">
      <w:start w:val="1"/>
      <w:numFmt w:val="lowerRoman"/>
      <w:lvlText w:val="%3."/>
      <w:lvlJc w:val="right"/>
      <w:pPr>
        <w:tabs>
          <w:tab w:val="num" w:pos="2617"/>
        </w:tabs>
        <w:ind w:left="2617" w:hanging="480"/>
      </w:pPr>
    </w:lvl>
    <w:lvl w:ilvl="3" w:tplc="0409000F" w:tentative="1">
      <w:start w:val="1"/>
      <w:numFmt w:val="decimal"/>
      <w:lvlText w:val="%4."/>
      <w:lvlJc w:val="left"/>
      <w:pPr>
        <w:tabs>
          <w:tab w:val="num" w:pos="3097"/>
        </w:tabs>
        <w:ind w:left="3097" w:hanging="480"/>
      </w:pPr>
    </w:lvl>
    <w:lvl w:ilvl="4" w:tplc="04090019" w:tentative="1">
      <w:start w:val="1"/>
      <w:numFmt w:val="ideographTraditional"/>
      <w:lvlText w:val="%5、"/>
      <w:lvlJc w:val="left"/>
      <w:pPr>
        <w:tabs>
          <w:tab w:val="num" w:pos="3577"/>
        </w:tabs>
        <w:ind w:left="3577" w:hanging="480"/>
      </w:pPr>
    </w:lvl>
    <w:lvl w:ilvl="5" w:tplc="0409001B" w:tentative="1">
      <w:start w:val="1"/>
      <w:numFmt w:val="lowerRoman"/>
      <w:lvlText w:val="%6."/>
      <w:lvlJc w:val="right"/>
      <w:pPr>
        <w:tabs>
          <w:tab w:val="num" w:pos="4057"/>
        </w:tabs>
        <w:ind w:left="4057" w:hanging="480"/>
      </w:pPr>
    </w:lvl>
    <w:lvl w:ilvl="6" w:tplc="0409000F" w:tentative="1">
      <w:start w:val="1"/>
      <w:numFmt w:val="decimal"/>
      <w:lvlText w:val="%7."/>
      <w:lvlJc w:val="left"/>
      <w:pPr>
        <w:tabs>
          <w:tab w:val="num" w:pos="4537"/>
        </w:tabs>
        <w:ind w:left="4537" w:hanging="480"/>
      </w:pPr>
    </w:lvl>
    <w:lvl w:ilvl="7" w:tplc="04090019" w:tentative="1">
      <w:start w:val="1"/>
      <w:numFmt w:val="ideographTraditional"/>
      <w:lvlText w:val="%8、"/>
      <w:lvlJc w:val="left"/>
      <w:pPr>
        <w:tabs>
          <w:tab w:val="num" w:pos="5017"/>
        </w:tabs>
        <w:ind w:left="5017" w:hanging="480"/>
      </w:pPr>
    </w:lvl>
    <w:lvl w:ilvl="8" w:tplc="0409001B" w:tentative="1">
      <w:start w:val="1"/>
      <w:numFmt w:val="lowerRoman"/>
      <w:lvlText w:val="%9."/>
      <w:lvlJc w:val="right"/>
      <w:pPr>
        <w:tabs>
          <w:tab w:val="num" w:pos="5497"/>
        </w:tabs>
        <w:ind w:left="5497" w:hanging="4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oNotTrackMoves/>
  <w:defaultTabStop w:val="480"/>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336B6"/>
    <w:rsid w:val="00062680"/>
    <w:rsid w:val="000A71F4"/>
    <w:rsid w:val="00266026"/>
    <w:rsid w:val="002875C6"/>
    <w:rsid w:val="00300DCD"/>
    <w:rsid w:val="0036216B"/>
    <w:rsid w:val="00472A8C"/>
    <w:rsid w:val="0056550A"/>
    <w:rsid w:val="007336B6"/>
    <w:rsid w:val="007A1C42"/>
    <w:rsid w:val="008C0D0D"/>
    <w:rsid w:val="008C4A83"/>
    <w:rsid w:val="00965803"/>
    <w:rsid w:val="009C6E57"/>
    <w:rsid w:val="00A067CB"/>
    <w:rsid w:val="00A44203"/>
    <w:rsid w:val="00D53AC5"/>
    <w:rsid w:val="00D61023"/>
    <w:rsid w:val="00E86F5E"/>
    <w:rsid w:val="00F3340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pPr>
    <w:rPr>
      <w:kern w:val="2"/>
      <w:sz w:val="24"/>
      <w:szCs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Body Text Indent"/>
    <w:basedOn w:val="a0"/>
    <w:pPr>
      <w:ind w:leftChars="100" w:left="720" w:hangingChars="200" w:hanging="480"/>
      <w:jc w:val="both"/>
    </w:pPr>
    <w:rPr>
      <w:rFonts w:ascii="Arial Narrow" w:eastAsia="標楷體" w:hAnsi="Arial Narrow"/>
    </w:rPr>
  </w:style>
  <w:style w:type="paragraph" w:styleId="a5">
    <w:name w:val="footer"/>
    <w:basedOn w:val="a0"/>
    <w:pPr>
      <w:tabs>
        <w:tab w:val="center" w:pos="4153"/>
        <w:tab w:val="right" w:pos="8306"/>
      </w:tabs>
      <w:snapToGrid w:val="0"/>
    </w:pPr>
    <w:rPr>
      <w:sz w:val="20"/>
      <w:szCs w:val="20"/>
    </w:rPr>
  </w:style>
  <w:style w:type="character" w:styleId="a6">
    <w:name w:val="page number"/>
    <w:basedOn w:val="a1"/>
  </w:style>
  <w:style w:type="paragraph" w:styleId="2">
    <w:name w:val="Body Text Indent 2"/>
    <w:basedOn w:val="a0"/>
    <w:rsid w:val="00E86F5E"/>
    <w:pPr>
      <w:spacing w:after="120" w:line="480" w:lineRule="auto"/>
      <w:ind w:leftChars="200" w:left="480"/>
    </w:pPr>
  </w:style>
  <w:style w:type="paragraph" w:customStyle="1" w:styleId="a">
    <w:name w:val="分項段落"/>
    <w:basedOn w:val="a0"/>
    <w:rsid w:val="00300DCD"/>
    <w:pPr>
      <w:numPr>
        <w:numId w:val="3"/>
      </w:numPr>
      <w:snapToGrid w:val="0"/>
      <w:spacing w:line="720" w:lineRule="exact"/>
      <w:jc w:val="both"/>
      <w:textAlignment w:val="baseline"/>
    </w:pPr>
    <w:rPr>
      <w:rFonts w:eastAsia="標楷體"/>
      <w:noProof/>
      <w:kern w:val="0"/>
      <w:sz w:val="36"/>
      <w:szCs w:val="20"/>
    </w:rPr>
  </w:style>
  <w:style w:type="paragraph" w:styleId="HTML">
    <w:name w:val="HTML Preformatted"/>
    <w:basedOn w:val="a0"/>
    <w:link w:val="HTML0"/>
    <w:uiPriority w:val="99"/>
    <w:unhideWhenUsed/>
    <w:rsid w:val="000A71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0A71F4"/>
    <w:rPr>
      <w:rFonts w:ascii="細明體" w:eastAsia="細明體" w:hAnsi="細明體" w:cs="細明體"/>
      <w:sz w:val="24"/>
      <w:szCs w:val="24"/>
    </w:rPr>
  </w:style>
  <w:style w:type="paragraph" w:styleId="a7">
    <w:name w:val="header"/>
    <w:basedOn w:val="a0"/>
    <w:link w:val="a8"/>
    <w:rsid w:val="00A067CB"/>
    <w:pPr>
      <w:tabs>
        <w:tab w:val="center" w:pos="4153"/>
        <w:tab w:val="right" w:pos="8306"/>
      </w:tabs>
      <w:snapToGrid w:val="0"/>
    </w:pPr>
    <w:rPr>
      <w:sz w:val="20"/>
      <w:szCs w:val="20"/>
    </w:rPr>
  </w:style>
  <w:style w:type="character" w:customStyle="1" w:styleId="a8">
    <w:name w:val="頁首 字元"/>
    <w:basedOn w:val="a1"/>
    <w:link w:val="a7"/>
    <w:rsid w:val="00A067CB"/>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1325</Words>
  <Characters>104</Characters>
  <Application>Microsoft Office Word</Application>
  <DocSecurity>4</DocSecurity>
  <Lines>1</Lines>
  <Paragraphs>2</Paragraphs>
  <ScaleCrop>false</ScaleCrop>
  <Company>CMT</Company>
  <LinksUpToDate>false</LinksUpToDate>
  <CharactersWithSpaces>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後天免疫缺乏症候群及其他性病防治講習辦法</dc:title>
  <dc:subject/>
  <dc:creator>SuperXP</dc:creator>
  <cp:keywords/>
  <dc:description/>
  <cp:lastModifiedBy>owner</cp:lastModifiedBy>
  <cp:revision>2</cp:revision>
  <cp:lastPrinted>2008-01-21T09:48:00Z</cp:lastPrinted>
  <dcterms:created xsi:type="dcterms:W3CDTF">2014-09-28T03:15:00Z</dcterms:created>
  <dcterms:modified xsi:type="dcterms:W3CDTF">2014-09-28T03:15:00Z</dcterms:modified>
</cp:coreProperties>
</file>